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FC337" w14:textId="77777777" w:rsidR="004C082E" w:rsidRPr="004C082E" w:rsidRDefault="004C082E" w:rsidP="004C082E">
      <w:pPr>
        <w:shd w:val="clear" w:color="auto" w:fill="F8F8F8"/>
        <w:spacing w:before="300" w:after="150" w:line="288" w:lineRule="atLeast"/>
        <w:outlineLvl w:val="0"/>
        <w:rPr>
          <w:rFonts w:ascii="Arial" w:eastAsia="Times New Roman" w:hAnsi="Arial" w:cs="Arial"/>
          <w:b/>
          <w:bCs/>
          <w:color w:val="444444"/>
          <w:kern w:val="36"/>
          <w:sz w:val="36"/>
          <w:szCs w:val="36"/>
          <w:lang w:val="el-GR" w:eastAsia="en-GB"/>
        </w:rPr>
      </w:pPr>
      <w:r w:rsidRPr="004C082E">
        <w:rPr>
          <w:rFonts w:ascii="Arial" w:eastAsia="Times New Roman" w:hAnsi="Arial" w:cs="Arial"/>
          <w:b/>
          <w:bCs/>
          <w:color w:val="444444"/>
          <w:kern w:val="36"/>
          <w:sz w:val="36"/>
          <w:szCs w:val="36"/>
          <w:lang w:val="el-GR" w:eastAsia="en-GB"/>
        </w:rPr>
        <w:t xml:space="preserve">Γενικά Έγγραφα 1628313/2024 - </w:t>
      </w:r>
      <w:r w:rsidRPr="004C082E">
        <w:rPr>
          <w:rFonts w:ascii="Arial" w:eastAsia="Times New Roman" w:hAnsi="Arial" w:cs="Arial"/>
          <w:b/>
          <w:bCs/>
          <w:color w:val="444444"/>
          <w:kern w:val="36"/>
          <w:sz w:val="36"/>
          <w:szCs w:val="36"/>
          <w:lang w:eastAsia="en-GB"/>
        </w:rPr>
        <w:t>e</w:t>
      </w:r>
      <w:r w:rsidRPr="004C082E">
        <w:rPr>
          <w:rFonts w:ascii="Arial" w:eastAsia="Times New Roman" w:hAnsi="Arial" w:cs="Arial"/>
          <w:b/>
          <w:bCs/>
          <w:color w:val="444444"/>
          <w:kern w:val="36"/>
          <w:sz w:val="36"/>
          <w:szCs w:val="36"/>
          <w:lang w:val="el-GR" w:eastAsia="en-GB"/>
        </w:rPr>
        <w:t>-ΕΦΚΑ: Ασφάλιση ιατρών και οδοντιάτρων του κλάδου του Ε.Σ.Υ. που ασκούν ιδιωτικό έργο, ως μη μισθωτοί</w:t>
      </w:r>
    </w:p>
    <w:p w14:paraId="40B10F30" w14:textId="77777777" w:rsidR="004C082E" w:rsidRPr="004C082E" w:rsidRDefault="004C082E" w:rsidP="004C082E">
      <w:pPr>
        <w:shd w:val="clear" w:color="auto" w:fill="F8F8F8"/>
        <w:spacing w:after="0" w:line="240" w:lineRule="auto"/>
        <w:rPr>
          <w:rFonts w:ascii="Arial" w:eastAsia="Times New Roman" w:hAnsi="Arial" w:cs="Arial"/>
          <w:color w:val="666666"/>
          <w:sz w:val="21"/>
          <w:szCs w:val="21"/>
          <w:lang w:eastAsia="en-GB"/>
        </w:rPr>
      </w:pPr>
      <w:proofErr w:type="spellStart"/>
      <w:r w:rsidRPr="004C082E">
        <w:rPr>
          <w:rFonts w:ascii="Arial" w:eastAsia="Times New Roman" w:hAnsi="Arial" w:cs="Arial"/>
          <w:b/>
          <w:bCs/>
          <w:color w:val="666666"/>
          <w:sz w:val="21"/>
          <w:szCs w:val="21"/>
          <w:lang w:eastAsia="en-GB"/>
        </w:rPr>
        <w:t>Τύ</w:t>
      </w:r>
      <w:proofErr w:type="spellEnd"/>
      <w:r w:rsidRPr="004C082E">
        <w:rPr>
          <w:rFonts w:ascii="Arial" w:eastAsia="Times New Roman" w:hAnsi="Arial" w:cs="Arial"/>
          <w:b/>
          <w:bCs/>
          <w:color w:val="666666"/>
          <w:sz w:val="21"/>
          <w:szCs w:val="21"/>
          <w:lang w:eastAsia="en-GB"/>
        </w:rPr>
        <w:t>πος</w:t>
      </w:r>
      <w:proofErr w:type="gramStart"/>
      <w:r w:rsidRPr="004C082E">
        <w:rPr>
          <w:rFonts w:ascii="Arial" w:eastAsia="Times New Roman" w:hAnsi="Arial" w:cs="Arial"/>
          <w:b/>
          <w:bCs/>
          <w:color w:val="666666"/>
          <w:sz w:val="21"/>
          <w:szCs w:val="21"/>
          <w:lang w:eastAsia="en-GB"/>
        </w:rPr>
        <w:t>:</w:t>
      </w:r>
      <w:r w:rsidRPr="004C082E">
        <w:rPr>
          <w:rFonts w:ascii="Arial" w:eastAsia="Times New Roman" w:hAnsi="Arial" w:cs="Arial"/>
          <w:color w:val="666666"/>
          <w:sz w:val="21"/>
          <w:szCs w:val="21"/>
          <w:lang w:eastAsia="en-GB"/>
        </w:rPr>
        <w:t>Γενικά</w:t>
      </w:r>
      <w:proofErr w:type="gramEnd"/>
      <w:r w:rsidRPr="004C082E">
        <w:rPr>
          <w:rFonts w:ascii="Arial" w:eastAsia="Times New Roman" w:hAnsi="Arial" w:cs="Arial"/>
          <w:color w:val="666666"/>
          <w:sz w:val="21"/>
          <w:szCs w:val="21"/>
          <w:lang w:eastAsia="en-GB"/>
        </w:rPr>
        <w:t xml:space="preserve"> </w:t>
      </w:r>
      <w:proofErr w:type="spellStart"/>
      <w:r w:rsidRPr="004C082E">
        <w:rPr>
          <w:rFonts w:ascii="Arial" w:eastAsia="Times New Roman" w:hAnsi="Arial" w:cs="Arial"/>
          <w:color w:val="666666"/>
          <w:sz w:val="21"/>
          <w:szCs w:val="21"/>
          <w:lang w:eastAsia="en-GB"/>
        </w:rPr>
        <w:t>Έγγρ</w:t>
      </w:r>
      <w:proofErr w:type="spellEnd"/>
      <w:r w:rsidRPr="004C082E">
        <w:rPr>
          <w:rFonts w:ascii="Arial" w:eastAsia="Times New Roman" w:hAnsi="Arial" w:cs="Arial"/>
          <w:color w:val="666666"/>
          <w:sz w:val="21"/>
          <w:szCs w:val="21"/>
          <w:lang w:eastAsia="en-GB"/>
        </w:rPr>
        <w:t>αφα</w:t>
      </w:r>
    </w:p>
    <w:p w14:paraId="63A0882A" w14:textId="77777777" w:rsidR="004C082E" w:rsidRPr="004C082E" w:rsidRDefault="004C082E" w:rsidP="004C082E">
      <w:pPr>
        <w:shd w:val="clear" w:color="auto" w:fill="F8F8F8"/>
        <w:spacing w:after="0" w:line="240" w:lineRule="auto"/>
        <w:rPr>
          <w:rFonts w:ascii="Arial" w:eastAsia="Times New Roman" w:hAnsi="Arial" w:cs="Arial"/>
          <w:color w:val="666666"/>
          <w:sz w:val="21"/>
          <w:szCs w:val="21"/>
          <w:lang w:eastAsia="en-GB"/>
        </w:rPr>
      </w:pPr>
      <w:r w:rsidRPr="004C082E">
        <w:rPr>
          <w:rFonts w:ascii="Arial" w:eastAsia="Times New Roman" w:hAnsi="Arial" w:cs="Arial"/>
          <w:b/>
          <w:bCs/>
          <w:color w:val="666666"/>
          <w:sz w:val="21"/>
          <w:szCs w:val="21"/>
          <w:lang w:eastAsia="en-GB"/>
        </w:rPr>
        <w:t>Έτος</w:t>
      </w:r>
      <w:proofErr w:type="gramStart"/>
      <w:r w:rsidRPr="004C082E">
        <w:rPr>
          <w:rFonts w:ascii="Arial" w:eastAsia="Times New Roman" w:hAnsi="Arial" w:cs="Arial"/>
          <w:b/>
          <w:bCs/>
          <w:color w:val="666666"/>
          <w:sz w:val="21"/>
          <w:szCs w:val="21"/>
          <w:lang w:eastAsia="en-GB"/>
        </w:rPr>
        <w:t>:</w:t>
      </w:r>
      <w:r w:rsidRPr="004C082E">
        <w:rPr>
          <w:rFonts w:ascii="Arial" w:eastAsia="Times New Roman" w:hAnsi="Arial" w:cs="Arial"/>
          <w:color w:val="666666"/>
          <w:sz w:val="21"/>
          <w:szCs w:val="21"/>
          <w:lang w:eastAsia="en-GB"/>
        </w:rPr>
        <w:t>2024</w:t>
      </w:r>
      <w:proofErr w:type="gramEnd"/>
    </w:p>
    <w:p w14:paraId="2094AA65" w14:textId="77777777" w:rsidR="004C082E" w:rsidRPr="004C082E" w:rsidRDefault="004C082E" w:rsidP="004C082E">
      <w:pPr>
        <w:shd w:val="clear" w:color="auto" w:fill="F8F8F8"/>
        <w:spacing w:after="0" w:line="240" w:lineRule="auto"/>
        <w:rPr>
          <w:rFonts w:ascii="Arial" w:eastAsia="Times New Roman" w:hAnsi="Arial" w:cs="Arial"/>
          <w:color w:val="666666"/>
          <w:sz w:val="21"/>
          <w:szCs w:val="21"/>
          <w:lang w:eastAsia="en-GB"/>
        </w:rPr>
      </w:pPr>
      <w:r w:rsidRPr="004C082E">
        <w:rPr>
          <w:rFonts w:ascii="Arial" w:eastAsia="Times New Roman" w:hAnsi="Arial" w:cs="Arial"/>
          <w:b/>
          <w:bCs/>
          <w:color w:val="666666"/>
          <w:sz w:val="21"/>
          <w:szCs w:val="21"/>
          <w:lang w:eastAsia="en-GB"/>
        </w:rPr>
        <w:t>Νούμερο</w:t>
      </w:r>
      <w:proofErr w:type="gramStart"/>
      <w:r w:rsidRPr="004C082E">
        <w:rPr>
          <w:rFonts w:ascii="Arial" w:eastAsia="Times New Roman" w:hAnsi="Arial" w:cs="Arial"/>
          <w:b/>
          <w:bCs/>
          <w:color w:val="666666"/>
          <w:sz w:val="21"/>
          <w:szCs w:val="21"/>
          <w:lang w:eastAsia="en-GB"/>
        </w:rPr>
        <w:t>:</w:t>
      </w:r>
      <w:r w:rsidRPr="004C082E">
        <w:rPr>
          <w:rFonts w:ascii="Arial" w:eastAsia="Times New Roman" w:hAnsi="Arial" w:cs="Arial"/>
          <w:color w:val="666666"/>
          <w:sz w:val="21"/>
          <w:szCs w:val="21"/>
          <w:lang w:eastAsia="en-GB"/>
        </w:rPr>
        <w:t>1628313</w:t>
      </w:r>
      <w:proofErr w:type="gramEnd"/>
    </w:p>
    <w:p w14:paraId="0259B731" w14:textId="77777777" w:rsidR="004C082E" w:rsidRDefault="004C082E" w:rsidP="004C082E">
      <w:pPr>
        <w:shd w:val="clear" w:color="auto" w:fill="F8F8F8"/>
        <w:spacing w:after="150" w:line="240" w:lineRule="auto"/>
        <w:rPr>
          <w:rFonts w:ascii="Arial" w:eastAsia="Times New Roman" w:hAnsi="Arial" w:cs="Arial"/>
          <w:b/>
          <w:bCs/>
          <w:i/>
          <w:iCs/>
          <w:color w:val="666666"/>
          <w:sz w:val="24"/>
          <w:szCs w:val="24"/>
          <w:lang w:val="el-GR" w:eastAsia="en-GB"/>
        </w:rPr>
      </w:pPr>
    </w:p>
    <w:p w14:paraId="46D585C0" w14:textId="77777777" w:rsidR="004C082E" w:rsidRPr="004C082E" w:rsidRDefault="004C082E" w:rsidP="004C082E">
      <w:pPr>
        <w:shd w:val="clear" w:color="auto" w:fill="F8F8F8"/>
        <w:spacing w:after="150" w:line="240" w:lineRule="auto"/>
        <w:rPr>
          <w:rFonts w:ascii="Arial" w:eastAsia="Times New Roman" w:hAnsi="Arial" w:cs="Arial"/>
          <w:b/>
          <w:bCs/>
          <w:i/>
          <w:iCs/>
          <w:color w:val="666666"/>
          <w:sz w:val="24"/>
          <w:szCs w:val="24"/>
          <w:lang w:val="el-GR" w:eastAsia="en-GB"/>
        </w:rPr>
      </w:pPr>
      <w:r w:rsidRPr="004C082E">
        <w:rPr>
          <w:rFonts w:ascii="Arial" w:eastAsia="Times New Roman" w:hAnsi="Arial" w:cs="Arial"/>
          <w:b/>
          <w:bCs/>
          <w:i/>
          <w:iCs/>
          <w:color w:val="666666"/>
          <w:sz w:val="24"/>
          <w:szCs w:val="24"/>
          <w:lang w:val="el-GR" w:eastAsia="en-GB"/>
        </w:rPr>
        <w:t xml:space="preserve">Με το παρόν παρέχονται οδηγίες για την ασφάλιση των προσώπων που εμπίπτουν στις νέες διατάξεις καθώς και τα δικαιολογητικά που απαιτούνται για τη εγγραφή τους ως μη μισθωτοί στον </w:t>
      </w:r>
      <w:r w:rsidRPr="004C082E">
        <w:rPr>
          <w:rFonts w:ascii="Arial" w:eastAsia="Times New Roman" w:hAnsi="Arial" w:cs="Arial"/>
          <w:b/>
          <w:bCs/>
          <w:i/>
          <w:iCs/>
          <w:color w:val="666666"/>
          <w:sz w:val="24"/>
          <w:szCs w:val="24"/>
          <w:lang w:eastAsia="en-GB"/>
        </w:rPr>
        <w:t>e</w:t>
      </w:r>
      <w:r w:rsidRPr="004C082E">
        <w:rPr>
          <w:rFonts w:ascii="Arial" w:eastAsia="Times New Roman" w:hAnsi="Arial" w:cs="Arial"/>
          <w:b/>
          <w:bCs/>
          <w:i/>
          <w:iCs/>
          <w:color w:val="666666"/>
          <w:sz w:val="24"/>
          <w:szCs w:val="24"/>
          <w:lang w:val="el-GR" w:eastAsia="en-GB"/>
        </w:rPr>
        <w:t>- ΕΦΚΑ</w:t>
      </w:r>
    </w:p>
    <w:p w14:paraId="08790460"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lang w:val="el-GR" w:eastAsia="en-GB"/>
        </w:rPr>
        <w:t xml:space="preserve">«Ασφάλιση στον </w:t>
      </w:r>
      <w:r w:rsidRPr="004C082E">
        <w:rPr>
          <w:rFonts w:ascii="Arial" w:eastAsia="Times New Roman" w:hAnsi="Arial" w:cs="Arial"/>
          <w:b/>
          <w:bCs/>
          <w:color w:val="666666"/>
          <w:sz w:val="21"/>
          <w:szCs w:val="21"/>
          <w:lang w:eastAsia="en-GB"/>
        </w:rPr>
        <w:t>e</w:t>
      </w:r>
      <w:r w:rsidRPr="004C082E">
        <w:rPr>
          <w:rFonts w:ascii="Arial" w:eastAsia="Times New Roman" w:hAnsi="Arial" w:cs="Arial"/>
          <w:b/>
          <w:bCs/>
          <w:color w:val="666666"/>
          <w:sz w:val="21"/>
          <w:szCs w:val="21"/>
          <w:lang w:val="el-GR" w:eastAsia="en-GB"/>
        </w:rPr>
        <w:t>-ΕΦΚΑ ιατρών και οδοντιάτρων του κλάδου του Εθνικού Συστήματος Υγείας (Ε.Σ.Υ.) που ασκούν ιδιωτικό έργο, ως μη μισθωτοί»</w:t>
      </w:r>
    </w:p>
    <w:p w14:paraId="25A99764"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lang w:val="el-GR" w:eastAsia="en-GB"/>
        </w:rPr>
        <w:t>Σχετ.:</w:t>
      </w:r>
    </w:p>
    <w:p w14:paraId="762199DD"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lang w:val="el-GR" w:eastAsia="en-GB"/>
        </w:rPr>
        <w:t>α)</w:t>
      </w:r>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Οι διατάξεις του άρθρου 7 του</w:t>
      </w:r>
      <w:hyperlink r:id="rId8" w:tgtFrame="_blank" w:history="1">
        <w:r w:rsidRPr="004C082E">
          <w:rPr>
            <w:rFonts w:ascii="Arial" w:eastAsia="Times New Roman" w:hAnsi="Arial" w:cs="Arial"/>
            <w:color w:val="4E81F1"/>
            <w:sz w:val="21"/>
            <w:szCs w:val="21"/>
            <w:lang w:eastAsia="en-GB"/>
          </w:rPr>
          <w:t> </w:t>
        </w:r>
        <w:r w:rsidRPr="004C082E">
          <w:rPr>
            <w:rFonts w:ascii="Arial" w:eastAsia="Times New Roman" w:hAnsi="Arial" w:cs="Arial"/>
            <w:color w:val="4E81F1"/>
            <w:sz w:val="21"/>
            <w:szCs w:val="21"/>
            <w:lang w:val="el-GR" w:eastAsia="en-GB"/>
          </w:rPr>
          <w:t>ν. 5102/2024</w:t>
        </w:r>
      </w:hyperlink>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(Α'55)</w:t>
      </w:r>
    </w:p>
    <w:p w14:paraId="02189884"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lang w:val="el-GR" w:eastAsia="en-GB"/>
        </w:rPr>
        <w:t>β)</w:t>
      </w:r>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Οι διατάξεις της με</w:t>
      </w:r>
      <w:r w:rsidRPr="004C082E">
        <w:rPr>
          <w:rFonts w:ascii="Arial" w:eastAsia="Times New Roman" w:hAnsi="Arial" w:cs="Arial"/>
          <w:color w:val="666666"/>
          <w:sz w:val="21"/>
          <w:szCs w:val="21"/>
          <w:lang w:eastAsia="en-GB"/>
        </w:rPr>
        <w:t> </w:t>
      </w:r>
      <w:hyperlink r:id="rId9" w:tgtFrame="_blank" w:history="1">
        <w:r w:rsidRPr="004C082E">
          <w:rPr>
            <w:rFonts w:ascii="Arial" w:eastAsia="Times New Roman" w:hAnsi="Arial" w:cs="Arial"/>
            <w:color w:val="4E81F1"/>
            <w:sz w:val="21"/>
            <w:szCs w:val="21"/>
            <w:lang w:val="el-GR" w:eastAsia="en-GB"/>
          </w:rPr>
          <w:t>αρ.Γ4α/Γ.Π.οικ.36150/04/07/2024</w:t>
        </w:r>
        <w:r w:rsidRPr="004C082E">
          <w:rPr>
            <w:rFonts w:ascii="Arial" w:eastAsia="Times New Roman" w:hAnsi="Arial" w:cs="Arial"/>
            <w:color w:val="4E81F1"/>
            <w:sz w:val="21"/>
            <w:szCs w:val="21"/>
            <w:lang w:eastAsia="en-GB"/>
          </w:rPr>
          <w:t> </w:t>
        </w:r>
      </w:hyperlink>
      <w:r w:rsidRPr="004C082E">
        <w:rPr>
          <w:rFonts w:ascii="Arial" w:eastAsia="Times New Roman" w:hAnsi="Arial" w:cs="Arial"/>
          <w:color w:val="666666"/>
          <w:sz w:val="21"/>
          <w:szCs w:val="21"/>
          <w:lang w:val="el-GR" w:eastAsia="en-GB"/>
        </w:rPr>
        <w:t>(Β'4271) ΥΑ</w:t>
      </w:r>
    </w:p>
    <w:p w14:paraId="049FC2B8"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Με τις διατάξεις του ν. 5102/2024 (ΦΕΚ 55/13-04-2024 τ.Α') προβλέπονται οι όροι και προϋποθέσεις άσκησης ιδιωτικού έργου των ιατρών του Εθνικού Συστήματος Υγείας σε αντικατάσταση της περ.α' παρ.1 του άρθρου 11 του</w:t>
      </w:r>
      <w:r w:rsidRPr="004C082E">
        <w:rPr>
          <w:rFonts w:ascii="Arial" w:eastAsia="Times New Roman" w:hAnsi="Arial" w:cs="Arial"/>
          <w:color w:val="666666"/>
          <w:sz w:val="21"/>
          <w:szCs w:val="21"/>
          <w:lang w:eastAsia="en-GB"/>
        </w:rPr>
        <w:t> </w:t>
      </w:r>
      <w:hyperlink r:id="rId10" w:tgtFrame="_blank" w:history="1">
        <w:r w:rsidRPr="004C082E">
          <w:rPr>
            <w:rFonts w:ascii="Arial" w:eastAsia="Times New Roman" w:hAnsi="Arial" w:cs="Arial"/>
            <w:color w:val="4E81F1"/>
            <w:sz w:val="21"/>
            <w:szCs w:val="21"/>
            <w:lang w:val="el-GR" w:eastAsia="en-GB"/>
          </w:rPr>
          <w:t>ν. 2889/2001</w:t>
        </w:r>
      </w:hyperlink>
      <w:r w:rsidRPr="004C082E">
        <w:rPr>
          <w:rFonts w:ascii="Arial" w:eastAsia="Times New Roman" w:hAnsi="Arial" w:cs="Arial"/>
          <w:color w:val="666666"/>
          <w:sz w:val="21"/>
          <w:szCs w:val="21"/>
          <w:lang w:val="el-GR" w:eastAsia="en-GB"/>
        </w:rPr>
        <w:t>.</w:t>
      </w:r>
    </w:p>
    <w:p w14:paraId="7FFDBA40"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Με το ως άνω β' σχετικό καθορίζονται η διαδικασία χορήγησης της άδειας για άσκηση ιδι</w:t>
      </w:r>
      <w:bookmarkStart w:id="0" w:name="_GoBack"/>
      <w:bookmarkEnd w:id="0"/>
      <w:r w:rsidRPr="004C082E">
        <w:rPr>
          <w:rFonts w:ascii="Arial" w:eastAsia="Times New Roman" w:hAnsi="Arial" w:cs="Arial"/>
          <w:color w:val="666666"/>
          <w:sz w:val="21"/>
          <w:szCs w:val="21"/>
          <w:lang w:val="el-GR" w:eastAsia="en-GB"/>
        </w:rPr>
        <w:t>ωτικού έργου και ανάκλησης αυτής, ο χρόνος υποβολής της αίτησης, οι προϋποθέσεις για τη χορήγηση της σχετικής άδειας, τα αρμόδια όργανα έκδοσης της σχετικής Απόφασης και η διάρκεια άσκησης του ιδιωτικού έργου.</w:t>
      </w:r>
    </w:p>
    <w:p w14:paraId="43DF1CEE"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 xml:space="preserve">Με το παρόν παρέχονται οδηγίες για την ασφάλιση των προσώπων που εμπίπτουν στις νέες διατάξεις καθώς και τα δικαιολογητικά που απαιτούνται για τη εγγραφή τους ως μη μισθωτοί στον </w:t>
      </w:r>
      <w:r w:rsidRPr="004C082E">
        <w:rPr>
          <w:rFonts w:ascii="Arial" w:eastAsia="Times New Roman" w:hAnsi="Arial" w:cs="Arial"/>
          <w:color w:val="666666"/>
          <w:sz w:val="21"/>
          <w:szCs w:val="21"/>
          <w:lang w:eastAsia="en-GB"/>
        </w:rPr>
        <w:t>e</w:t>
      </w:r>
      <w:r w:rsidRPr="004C082E">
        <w:rPr>
          <w:rFonts w:ascii="Arial" w:eastAsia="Times New Roman" w:hAnsi="Arial" w:cs="Arial"/>
          <w:color w:val="666666"/>
          <w:sz w:val="21"/>
          <w:szCs w:val="21"/>
          <w:lang w:val="el-GR" w:eastAsia="en-GB"/>
        </w:rPr>
        <w:t>-ΕΦΚΑ.</w:t>
      </w:r>
    </w:p>
    <w:p w14:paraId="6165B28C"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u w:val="single"/>
          <w:lang w:val="el-GR" w:eastAsia="en-GB"/>
        </w:rPr>
        <w:t>Πεδίο εφαρμογής</w:t>
      </w:r>
    </w:p>
    <w:p w14:paraId="157F87C5"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Οι ιατροί και οδοντίατροι του κλάδου του Εθνικού Συστήματος Υγείας (Ε.Σ.Υ.) είναι πλήρους και αποκλειστικής απασχόλησης. Κατ' εξαίρεση, όσοι υπηρετούν σε Γενικά Νοσοκομεία -Κέντρα Υγείας και Κέντρα Υγείας του Ε.Σ.Υ., καθώς και στο Γ.Ν. Θεσσαλονίκης «Παπαγεωργίου», δύνανται σε χρόνο εκτός του τακτικού ωραρίου τους και των εφημεριών, να ασκούν ιδιωτικό έργο υπό την προϋπόθεση ότι αναλαμβάνουν τις ασφαλιστικές και φορολογικές υποχρεώσεις για το συγκεκριμένο χρονικό διάστημα.</w:t>
      </w:r>
    </w:p>
    <w:p w14:paraId="58883B0D"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lastRenderedPageBreak/>
        <w:t>Ειδικότερα, τα ανωτέρω πρόσωπα δύνανται να διατηρούν ιδιωτικό ιατρείο, να παρέχουν ιατρικές υπηρεσίες με οποιαδήποτε σχέση, συμπεριλαμβανομένης και αυτής του συμβούλου ή εμπειρογνώμονος ή/τεχνικού συμβούλου και για θέματα εκπαίδευσης /επιμόρφωσης /εποπτείας των επαγγελματιών υγείας, οργάνωσης διαλέξεων και επιστημονικών εκδηλώσεων, συγγραφής επιστημονικών άρθρων, ιατρικών ενημερώσεων υγείας για νοσολογικές οντότητες, σε ιδιωτική κλινική ή ιδιωτικό διαγνωστικό ή θεραπευτικό εργαστήριο ή φαρμακευτικές επιχειρήσεις ή εταιρείες ιατροτεχνολογικών προϊόντων και γενικότερα σε κάθε είδους ιδιωτικές επιχειρήσεις που παρέχουν ή καλύπτουν υπηρεσίες υγείας, υπό την προϋπόθεση χορήγησης σε αυτούς σχετικής άδειας σύμφωνα με τη διαδικασία των νέων διατάξεων. Οι ως άνω ιατρικές υπηρεσίες αποκλείεται να παρέχονται με σχέση μισθωτής εργασίας.</w:t>
      </w:r>
    </w:p>
    <w:p w14:paraId="7D4E3B2F"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Εξαιρούνται οι προσωπικοί ιατροί κλάδου ιατρών Ε.Σ.Υ. από τη δυνατότητα παροχής ιδιωτικού έργου προς τον εγγεγραμμένο σε αυτούς πληθυσμό, όπως αυτός καθορίζεται κατ' εφαρμογή της παρ. 5 του άρθρου 5 του</w:t>
      </w:r>
      <w:r w:rsidRPr="004C082E">
        <w:rPr>
          <w:rFonts w:ascii="Arial" w:eastAsia="Times New Roman" w:hAnsi="Arial" w:cs="Arial"/>
          <w:color w:val="666666"/>
          <w:sz w:val="21"/>
          <w:szCs w:val="21"/>
          <w:lang w:eastAsia="en-GB"/>
        </w:rPr>
        <w:t> </w:t>
      </w:r>
      <w:hyperlink r:id="rId11" w:tgtFrame="_blank" w:history="1">
        <w:r w:rsidRPr="004C082E">
          <w:rPr>
            <w:rFonts w:ascii="Arial" w:eastAsia="Times New Roman" w:hAnsi="Arial" w:cs="Arial"/>
            <w:color w:val="4E81F1"/>
            <w:sz w:val="21"/>
            <w:szCs w:val="21"/>
            <w:lang w:val="el-GR" w:eastAsia="en-GB"/>
          </w:rPr>
          <w:t>ν. 4238/2014</w:t>
        </w:r>
      </w:hyperlink>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(Α'38).</w:t>
      </w:r>
    </w:p>
    <w:p w14:paraId="3D4175A2"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Η Απόφαση χορήγησης άδειας άσκησης ιδιωτικού έργου εκδίδεται από τον Διοικητή ή τον Πρόεδρο του νοσοκομείου ή τον Διοικητή της Υγειονομικής Περιφέρειας, όταν πρόκειται για Κέντρο Υγείας, εντός (10) δέκα ημερών από την αίτηση και πρέπει να είναι επαρκώς αιτιολογημένη. Στην Απόφαση αναγράφεται η χρονική διάρκεια της άσκησης ιδιωτικού έργου, η έναρξη και η λήξη αυτής, καθώς και η έδρα ή και ο φορέας απασχόλησης.</w:t>
      </w:r>
    </w:p>
    <w:p w14:paraId="134A8F90"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Η άδεια απασχόλησης στον ιδιωτικό τομέα της ιατρικής έχει εξάμηνη διάρκεια.</w:t>
      </w:r>
    </w:p>
    <w:p w14:paraId="2E723445"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Σε περίπτωση μετακίνησης του ιατρού σε άλλο νοσοκομείο της ίδιας ή άλλης Υγειονομικής Περιφέρειας ή σε Μονάδα Πρωτοβάθμιας Φροντίδας Υγείας άλλης Υγειονομικής Περιφέρειας η υφιστάμενη άδεια παύει αυτοδικαίως να ισχύει.</w:t>
      </w:r>
    </w:p>
    <w:p w14:paraId="6E4C144E"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Σε περίπτωση μεταβολής του είδους της απασχόλησης κατά τη διάρκεια ισχύος της χορηγηθείσας άδειας, ο ιατρός ενημερώνει εγγράφως το κατά περίπτωση αρμόδιο όργανο, προκειμένου αυτό να προβεί σε τροποποίησή της.</w:t>
      </w:r>
    </w:p>
    <w:p w14:paraId="77B3DAFC"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Η παράβαση από ιατρό του Ε.Σ.Υ. των όρων και προϋποθέσεων της παραπάνω διαδικασίας συνεπάγεται την άμεση ανάκληση της άδειας απασχόλησής του στον ιδιωτικό τομέα της ιατρικής με αιτιολογημένη Απόφαση από τον Διοικητή ή τον Πρόεδρο του νοσοκομείου ή του Διοικητή της Υ.ΠΕ.</w:t>
      </w:r>
    </w:p>
    <w:p w14:paraId="49E4F00E"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u w:val="single"/>
          <w:lang w:val="el-GR" w:eastAsia="en-GB"/>
        </w:rPr>
        <w:t>Υπαγωγή στην ασφάλιση Μη Μισθωτών</w:t>
      </w:r>
    </w:p>
    <w:p w14:paraId="6EDA2253"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 xml:space="preserve">Σύμφωνα με το νέο νομοθετικό πλαίσιο, οι ιατροί και οδοντίατροι του κλάδου του Εθνικού Συστήματος Υγείας (Ε.Σ.Υ.), εφόσον πληρούν τις προϋποθέσεις που θέτουν οι νέες διατάξεις και τους χορηγήθηκε άδεια για άσκηση ιδιωτικού έργου, έχουν υποχρέωση ασφάλισης στον </w:t>
      </w:r>
      <w:r w:rsidRPr="004C082E">
        <w:rPr>
          <w:rFonts w:ascii="Arial" w:eastAsia="Times New Roman" w:hAnsi="Arial" w:cs="Arial"/>
          <w:color w:val="666666"/>
          <w:sz w:val="21"/>
          <w:szCs w:val="21"/>
          <w:lang w:eastAsia="en-GB"/>
        </w:rPr>
        <w:t>e</w:t>
      </w:r>
      <w:r w:rsidRPr="004C082E">
        <w:rPr>
          <w:rFonts w:ascii="Arial" w:eastAsia="Times New Roman" w:hAnsi="Arial" w:cs="Arial"/>
          <w:color w:val="666666"/>
          <w:sz w:val="21"/>
          <w:szCs w:val="21"/>
          <w:lang w:val="el-GR" w:eastAsia="en-GB"/>
        </w:rPr>
        <w:t>-ΕΦΚΑ και ως μη μισθωτοί.</w:t>
      </w:r>
    </w:p>
    <w:p w14:paraId="4163B0CE"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u w:val="single"/>
          <w:lang w:val="el-GR" w:eastAsia="en-GB"/>
        </w:rPr>
        <w:lastRenderedPageBreak/>
        <w:t>Δικαιολογητικά για την υπαγωγή στην ασφάλιση</w:t>
      </w:r>
    </w:p>
    <w:p w14:paraId="2882A2FB"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 xml:space="preserve">1. Αίτηση για εγγραφή στον </w:t>
      </w:r>
      <w:r w:rsidRPr="004C082E">
        <w:rPr>
          <w:rFonts w:ascii="Arial" w:eastAsia="Times New Roman" w:hAnsi="Arial" w:cs="Arial"/>
          <w:color w:val="666666"/>
          <w:sz w:val="21"/>
          <w:szCs w:val="21"/>
          <w:lang w:eastAsia="en-GB"/>
        </w:rPr>
        <w:t>e</w:t>
      </w:r>
      <w:r w:rsidRPr="004C082E">
        <w:rPr>
          <w:rFonts w:ascii="Arial" w:eastAsia="Times New Roman" w:hAnsi="Arial" w:cs="Arial"/>
          <w:color w:val="666666"/>
          <w:sz w:val="21"/>
          <w:szCs w:val="21"/>
          <w:lang w:val="el-GR" w:eastAsia="en-GB"/>
        </w:rPr>
        <w:t>-ΕΦΚΑ ως μη μισθωτός ασφαλισμένος (αυτοαπασχολούμενος π. ΕΤΑΑ-ΤΣΑΥ) στην Τοπική Διεύθυνση του τόπου κατοικίας και δήλωση της ασφαλιστικής κατηγορίας που επιθυμεί να ενταχθεί.</w:t>
      </w:r>
    </w:p>
    <w:p w14:paraId="36B35059"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2. Βεβαίωση οικείου Ιατρικού ή Οδοντιατρικού Συλλόγου</w:t>
      </w:r>
    </w:p>
    <w:p w14:paraId="181E4605"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3. Έναρξη εργασιών από το αρμόδιο Κέντρο Φορολογικών Διαδικασιών και Εξυπηρέτησης (ΚΕ.ΦΟ.Δ.Ε.)</w:t>
      </w:r>
    </w:p>
    <w:p w14:paraId="5C70DF91"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4. Απόφαση σε ισχύ περί χορήγησης άδειας άσκησης ιδιωτικού έργου από τον Διοικητή ή τον Πρόεδρο του νοσοκομείου ή το Διοικητή της Υγειονομικής Περιφέρειας και κάθε συνδεόμενης με αυτό Μονάδα Υγείας</w:t>
      </w:r>
    </w:p>
    <w:p w14:paraId="713DAEE4"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5. Τροποποιητική ή Ανακλητική Απόφαση της άδειας άσκησης ιδιωτικού έργου για τις περιπτώσεις τροποποίησης ή ανάκλησης της σχετικής άδειας.</w:t>
      </w:r>
    </w:p>
    <w:p w14:paraId="666B4C46"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6. Ανάλογα το είδος της απασχόλησης για την οποία έχει λάβει τη σχετική άδεια:</w:t>
      </w:r>
    </w:p>
    <w:p w14:paraId="3D5A058D"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 Άδεια λειτουργίας ιδιωτικού ιατρείου ή οδοντιατρείου</w:t>
      </w:r>
    </w:p>
    <w:p w14:paraId="4193D02F"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 Σύμβαση που συνάπτεται με ιδιωτική κλινική ή ιδιωτικό διαγνωστικό εργαστήριο ή ιδιωτική επιχείρηση που παρέχει ή καλύπτει υπηρεσίες υγείας.</w:t>
      </w:r>
    </w:p>
    <w:p w14:paraId="5EA66C5F"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u w:val="single"/>
          <w:lang w:val="el-GR" w:eastAsia="en-GB"/>
        </w:rPr>
        <w:t>Διαδικασία ασφάλισης και εισφοροδότησης</w:t>
      </w:r>
    </w:p>
    <w:p w14:paraId="3198556D"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Κατά την εγγραφή των ανωτέρω προσώπων στο Μητρώο Μη Μισθωτών θα καταχωρείται τόσο η έναρξη ασφάλισης όσο και η λήξη αυτής, λαμβάνοντας υπόψη τη χρονική διάρκεια της άδειας άσκησης ιδιωτικού έργου που χορηγήθηκε.</w:t>
      </w:r>
    </w:p>
    <w:p w14:paraId="3C11F311"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Οι Ιατροί και Οδοντίατροι του Ε.Σ.Υ., για όσο χρονικό διάστημα παράλληλα με την μισθωτή εργασία ασκούν ιδιωτικό έργο ασφαλίζονται ως μη μισθωτοί με παράλληλη μισθωτή απασχόληση και εισφοροδοτούνται σύμφωνα με τις διατάξεις του άρθρου 36 του</w:t>
      </w:r>
      <w:r w:rsidRPr="004C082E">
        <w:rPr>
          <w:rFonts w:ascii="Arial" w:eastAsia="Times New Roman" w:hAnsi="Arial" w:cs="Arial"/>
          <w:color w:val="666666"/>
          <w:sz w:val="21"/>
          <w:szCs w:val="21"/>
          <w:lang w:eastAsia="en-GB"/>
        </w:rPr>
        <w:t> </w:t>
      </w:r>
      <w:hyperlink r:id="rId12" w:tgtFrame="_blank" w:history="1">
        <w:r w:rsidRPr="004C082E">
          <w:rPr>
            <w:rFonts w:ascii="Arial" w:eastAsia="Times New Roman" w:hAnsi="Arial" w:cs="Arial"/>
            <w:color w:val="4E81F1"/>
            <w:sz w:val="21"/>
            <w:szCs w:val="21"/>
            <w:lang w:val="el-GR" w:eastAsia="en-GB"/>
          </w:rPr>
          <w:t>ν. 4387/2016</w:t>
        </w:r>
      </w:hyperlink>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όπως έχει αντικατασταθεί με το άρθρο 32 του</w:t>
      </w:r>
      <w:r w:rsidRPr="004C082E">
        <w:rPr>
          <w:rFonts w:ascii="Arial" w:eastAsia="Times New Roman" w:hAnsi="Arial" w:cs="Arial"/>
          <w:color w:val="666666"/>
          <w:sz w:val="21"/>
          <w:szCs w:val="21"/>
          <w:lang w:eastAsia="en-GB"/>
        </w:rPr>
        <w:t> </w:t>
      </w:r>
      <w:hyperlink r:id="rId13" w:tgtFrame="_blank" w:history="1">
        <w:r w:rsidRPr="004C082E">
          <w:rPr>
            <w:rFonts w:ascii="Arial" w:eastAsia="Times New Roman" w:hAnsi="Arial" w:cs="Arial"/>
            <w:color w:val="4E81F1"/>
            <w:sz w:val="21"/>
            <w:szCs w:val="21"/>
            <w:lang w:val="el-GR" w:eastAsia="en-GB"/>
          </w:rPr>
          <w:t>ν. 4670/2020</w:t>
        </w:r>
      </w:hyperlink>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και ισχύει.</w:t>
      </w:r>
    </w:p>
    <w:p w14:paraId="17A69D0F"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Η παράλληλη μισθωτή απασχόληση θα καταχωρείται από τον χρήστη στην μηχανογραφική εφαρμογή «Ασφάλιση - Έσοδα Μη Μισθωτών» στην οθόνη «Διαστήματα μισθωτής απασχόλησης», προκειμένου να αναστέλλεται η έκδοση των ειδοποιητηρίων ασφαλιστικών εισφορών μέχρι την ολοκλήρωση της εκκαθαριστικής διαδικασίας.</w:t>
      </w:r>
    </w:p>
    <w:p w14:paraId="6DE3FFAB"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 xml:space="preserve">Κατά την ετήσια εκκαθάριση λαμβάνονται υπόψη τα ποσά εισφορών ανά κλάδο από τη μισθωτή απασχόληση και καταβάλλεται από τον ασφαλισμένο στον </w:t>
      </w:r>
      <w:r w:rsidRPr="004C082E">
        <w:rPr>
          <w:rFonts w:ascii="Arial" w:eastAsia="Times New Roman" w:hAnsi="Arial" w:cs="Arial"/>
          <w:color w:val="666666"/>
          <w:sz w:val="21"/>
          <w:szCs w:val="21"/>
          <w:lang w:eastAsia="en-GB"/>
        </w:rPr>
        <w:t>e</w:t>
      </w:r>
      <w:r w:rsidRPr="004C082E">
        <w:rPr>
          <w:rFonts w:ascii="Arial" w:eastAsia="Times New Roman" w:hAnsi="Arial" w:cs="Arial"/>
          <w:color w:val="666666"/>
          <w:sz w:val="21"/>
          <w:szCs w:val="21"/>
          <w:lang w:val="el-GR" w:eastAsia="en-GB"/>
        </w:rPr>
        <w:t>-ΕΦΚΑ, εφόσον προκύπτει, η διαφορά από την κατώτατη, κατά περίπτωση, προβλεπόμενη εισφορά ή από την εισφορά τυχόν ανώτερης επιλεγείσας κατηγορίας σύμφωνα με οριζόμενα στην</w:t>
      </w:r>
      <w:r w:rsidRPr="004C082E">
        <w:rPr>
          <w:rFonts w:ascii="Arial" w:eastAsia="Times New Roman" w:hAnsi="Arial" w:cs="Arial"/>
          <w:color w:val="666666"/>
          <w:sz w:val="21"/>
          <w:szCs w:val="21"/>
          <w:lang w:eastAsia="en-GB"/>
        </w:rPr>
        <w:t> </w:t>
      </w:r>
      <w:hyperlink r:id="rId14" w:tgtFrame="_blank" w:history="1">
        <w:r w:rsidRPr="004C082E">
          <w:rPr>
            <w:rFonts w:ascii="Arial" w:eastAsia="Times New Roman" w:hAnsi="Arial" w:cs="Arial"/>
            <w:color w:val="4E81F1"/>
            <w:sz w:val="21"/>
            <w:szCs w:val="21"/>
            <w:lang w:val="el-GR" w:eastAsia="en-GB"/>
          </w:rPr>
          <w:t>αριθ. 43/2021 Εγκύκλιο Οδηγία</w:t>
        </w:r>
      </w:hyperlink>
      <w:r w:rsidRPr="004C082E">
        <w:rPr>
          <w:rFonts w:ascii="Arial" w:eastAsia="Times New Roman" w:hAnsi="Arial" w:cs="Arial"/>
          <w:color w:val="666666"/>
          <w:sz w:val="21"/>
          <w:szCs w:val="21"/>
          <w:lang w:eastAsia="en-GB"/>
        </w:rPr>
        <w:t> </w:t>
      </w:r>
      <w:r w:rsidRPr="004C082E">
        <w:rPr>
          <w:rFonts w:ascii="Arial" w:eastAsia="Times New Roman" w:hAnsi="Arial" w:cs="Arial"/>
          <w:color w:val="666666"/>
          <w:sz w:val="21"/>
          <w:szCs w:val="21"/>
          <w:lang w:val="el-GR" w:eastAsia="en-GB"/>
        </w:rPr>
        <w:t xml:space="preserve">του </w:t>
      </w:r>
      <w:r w:rsidRPr="004C082E">
        <w:rPr>
          <w:rFonts w:ascii="Arial" w:eastAsia="Times New Roman" w:hAnsi="Arial" w:cs="Arial"/>
          <w:color w:val="666666"/>
          <w:sz w:val="21"/>
          <w:szCs w:val="21"/>
          <w:lang w:eastAsia="en-GB"/>
        </w:rPr>
        <w:t>e</w:t>
      </w:r>
      <w:r w:rsidRPr="004C082E">
        <w:rPr>
          <w:rFonts w:ascii="Arial" w:eastAsia="Times New Roman" w:hAnsi="Arial" w:cs="Arial"/>
          <w:color w:val="666666"/>
          <w:sz w:val="21"/>
          <w:szCs w:val="21"/>
          <w:lang w:val="el-GR" w:eastAsia="en-GB"/>
        </w:rPr>
        <w:t>-ΕΦΚΑ.</w:t>
      </w:r>
    </w:p>
    <w:p w14:paraId="5ED43E4D"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lastRenderedPageBreak/>
        <w:t>Παρακαλούμε, με ευθύνη των Προϊστάμενων Διευθύνσεων και Τμημάτων, να λάβει γνώση του παρόντος το προσωπικό των υπηρεσιών αρμοδιότητάς τους.</w:t>
      </w:r>
    </w:p>
    <w:p w14:paraId="0F67017E" w14:textId="77777777" w:rsidR="004C082E" w:rsidRPr="004C082E" w:rsidRDefault="004C082E" w:rsidP="004C082E">
      <w:pPr>
        <w:shd w:val="clear" w:color="auto" w:fill="F8F8F8"/>
        <w:spacing w:after="150" w:line="375" w:lineRule="atLeast"/>
        <w:jc w:val="both"/>
        <w:rPr>
          <w:rFonts w:ascii="Arial" w:eastAsia="Times New Roman" w:hAnsi="Arial" w:cs="Arial"/>
          <w:color w:val="666666"/>
          <w:sz w:val="21"/>
          <w:szCs w:val="21"/>
          <w:lang w:val="el-GR" w:eastAsia="en-GB"/>
        </w:rPr>
      </w:pPr>
      <w:r w:rsidRPr="004C082E">
        <w:rPr>
          <w:rFonts w:ascii="Arial" w:eastAsia="Times New Roman" w:hAnsi="Arial" w:cs="Arial"/>
          <w:color w:val="666666"/>
          <w:sz w:val="21"/>
          <w:szCs w:val="21"/>
          <w:lang w:val="el-GR" w:eastAsia="en-GB"/>
        </w:rPr>
        <w:t>ΑΔΑ: 9ΩΚΨ46ΜΑΠΣ-ΣΝΣ</w:t>
      </w:r>
    </w:p>
    <w:p w14:paraId="7DB0F95D" w14:textId="77777777" w:rsidR="004C082E" w:rsidRPr="004C082E" w:rsidRDefault="004C082E" w:rsidP="004C082E">
      <w:pPr>
        <w:shd w:val="clear" w:color="auto" w:fill="F8F8F8"/>
        <w:spacing w:after="150" w:line="375" w:lineRule="atLeast"/>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lang w:val="el-GR" w:eastAsia="en-GB"/>
        </w:rPr>
        <w:t>19/11/2024</w:t>
      </w:r>
    </w:p>
    <w:p w14:paraId="095B66A4" w14:textId="77777777" w:rsidR="004C082E" w:rsidRPr="004C082E" w:rsidRDefault="004C082E" w:rsidP="004C082E">
      <w:pPr>
        <w:shd w:val="clear" w:color="auto" w:fill="F8F8F8"/>
        <w:spacing w:after="150" w:line="375" w:lineRule="atLeast"/>
        <w:rPr>
          <w:rFonts w:ascii="Arial" w:eastAsia="Times New Roman" w:hAnsi="Arial" w:cs="Arial"/>
          <w:color w:val="666666"/>
          <w:sz w:val="21"/>
          <w:szCs w:val="21"/>
          <w:lang w:val="el-GR" w:eastAsia="en-GB"/>
        </w:rPr>
      </w:pPr>
      <w:r w:rsidRPr="004C082E">
        <w:rPr>
          <w:rFonts w:ascii="Arial" w:eastAsia="Times New Roman" w:hAnsi="Arial" w:cs="Arial"/>
          <w:b/>
          <w:bCs/>
          <w:color w:val="666666"/>
          <w:sz w:val="21"/>
          <w:szCs w:val="21"/>
          <w:lang w:val="el-GR" w:eastAsia="en-GB"/>
        </w:rPr>
        <w:t>Η ΠΡΟΪΣΤΑΜΕΝΗ ΓΕΝΙΚΗΣ Δ/ΝΣΗΣ ΕΙΣΦΟΡΩΝ</w:t>
      </w:r>
      <w:r w:rsidRPr="004C082E">
        <w:rPr>
          <w:rFonts w:ascii="Arial" w:eastAsia="Times New Roman" w:hAnsi="Arial" w:cs="Arial"/>
          <w:color w:val="666666"/>
          <w:sz w:val="21"/>
          <w:szCs w:val="21"/>
          <w:lang w:val="el-GR" w:eastAsia="en-GB"/>
        </w:rPr>
        <w:br/>
      </w:r>
      <w:r w:rsidRPr="004C082E">
        <w:rPr>
          <w:rFonts w:ascii="Arial" w:eastAsia="Times New Roman" w:hAnsi="Arial" w:cs="Arial"/>
          <w:b/>
          <w:bCs/>
          <w:color w:val="666666"/>
          <w:sz w:val="21"/>
          <w:szCs w:val="21"/>
          <w:lang w:val="el-GR" w:eastAsia="en-GB"/>
        </w:rPr>
        <w:t>ΔΗΜΗΤΡΟΥΛΑ ΕΛΕΥΘΕΡΙΑΔΗ</w:t>
      </w:r>
    </w:p>
    <w:p w14:paraId="127D4CD1" w14:textId="77777777" w:rsidR="00C16AA7" w:rsidRPr="004C082E" w:rsidRDefault="004C082E">
      <w:pPr>
        <w:rPr>
          <w:lang w:val="el-GR"/>
        </w:rPr>
      </w:pPr>
    </w:p>
    <w:sectPr w:rsidR="00C16AA7" w:rsidRPr="004C0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E0DD5"/>
    <w:multiLevelType w:val="hybridMultilevel"/>
    <w:tmpl w:val="C6B249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FC62A3"/>
    <w:multiLevelType w:val="multilevel"/>
    <w:tmpl w:val="889C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D634C"/>
    <w:multiLevelType w:val="multilevel"/>
    <w:tmpl w:val="2BB4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31D7E"/>
    <w:multiLevelType w:val="multilevel"/>
    <w:tmpl w:val="5704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82E"/>
    <w:rsid w:val="003444AD"/>
    <w:rsid w:val="004C082E"/>
    <w:rsid w:val="00B42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61D41"/>
  <w15:chartTrackingRefBased/>
  <w15:docId w15:val="{1D3B08B5-024C-4260-960E-C77C4C3E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C08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4C082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82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4C082E"/>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4C082E"/>
    <w:rPr>
      <w:color w:val="0000FF"/>
      <w:u w:val="single"/>
    </w:rPr>
  </w:style>
  <w:style w:type="paragraph" w:styleId="NormalWeb">
    <w:name w:val="Normal (Web)"/>
    <w:basedOn w:val="Normal"/>
    <w:uiPriority w:val="99"/>
    <w:semiHidden/>
    <w:unhideWhenUsed/>
    <w:rsid w:val="004C08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emdatecreated">
    <w:name w:val="itemdatecreated"/>
    <w:basedOn w:val="DefaultParagraphFont"/>
    <w:rsid w:val="004C082E"/>
  </w:style>
  <w:style w:type="character" w:customStyle="1" w:styleId="itemextrafieldslabel">
    <w:name w:val="itemextrafieldslabel"/>
    <w:basedOn w:val="DefaultParagraphFont"/>
    <w:rsid w:val="004C082E"/>
  </w:style>
  <w:style w:type="character" w:customStyle="1" w:styleId="itemextrafieldsvalue">
    <w:name w:val="itemextrafieldsvalue"/>
    <w:basedOn w:val="DefaultParagraphFont"/>
    <w:rsid w:val="004C082E"/>
  </w:style>
  <w:style w:type="character" w:styleId="Strong">
    <w:name w:val="Strong"/>
    <w:basedOn w:val="DefaultParagraphFont"/>
    <w:uiPriority w:val="22"/>
    <w:qFormat/>
    <w:rsid w:val="004C082E"/>
    <w:rPr>
      <w:b/>
      <w:bCs/>
    </w:rPr>
  </w:style>
  <w:style w:type="paragraph" w:styleId="ListParagraph">
    <w:name w:val="List Paragraph"/>
    <w:basedOn w:val="Normal"/>
    <w:uiPriority w:val="34"/>
    <w:qFormat/>
    <w:rsid w:val="004C08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233709">
      <w:bodyDiv w:val="1"/>
      <w:marLeft w:val="0"/>
      <w:marRight w:val="0"/>
      <w:marTop w:val="0"/>
      <w:marBottom w:val="0"/>
      <w:divBdr>
        <w:top w:val="none" w:sz="0" w:space="0" w:color="auto"/>
        <w:left w:val="none" w:sz="0" w:space="0" w:color="auto"/>
        <w:bottom w:val="none" w:sz="0" w:space="0" w:color="auto"/>
        <w:right w:val="none" w:sz="0" w:space="0" w:color="auto"/>
      </w:divBdr>
      <w:divsChild>
        <w:div w:id="272516260">
          <w:marLeft w:val="0"/>
          <w:marRight w:val="0"/>
          <w:marTop w:val="0"/>
          <w:marBottom w:val="0"/>
          <w:divBdr>
            <w:top w:val="none" w:sz="0" w:space="0" w:color="auto"/>
            <w:left w:val="none" w:sz="0" w:space="0" w:color="auto"/>
            <w:bottom w:val="none" w:sz="0" w:space="0" w:color="auto"/>
            <w:right w:val="none" w:sz="0" w:space="0" w:color="auto"/>
          </w:divBdr>
          <w:divsChild>
            <w:div w:id="1534223311">
              <w:marLeft w:val="0"/>
              <w:marRight w:val="0"/>
              <w:marTop w:val="0"/>
              <w:marBottom w:val="0"/>
              <w:divBdr>
                <w:top w:val="none" w:sz="0" w:space="0" w:color="auto"/>
                <w:left w:val="none" w:sz="0" w:space="0" w:color="auto"/>
                <w:bottom w:val="none" w:sz="0" w:space="0" w:color="auto"/>
                <w:right w:val="none" w:sz="0" w:space="0" w:color="auto"/>
              </w:divBdr>
            </w:div>
          </w:divsChild>
        </w:div>
        <w:div w:id="2101829595">
          <w:marLeft w:val="0"/>
          <w:marRight w:val="0"/>
          <w:marTop w:val="0"/>
          <w:marBottom w:val="0"/>
          <w:divBdr>
            <w:top w:val="none" w:sz="0" w:space="0" w:color="auto"/>
            <w:left w:val="none" w:sz="0" w:space="0" w:color="auto"/>
            <w:bottom w:val="none" w:sz="0" w:space="0" w:color="auto"/>
            <w:right w:val="none" w:sz="0" w:space="0" w:color="auto"/>
          </w:divBdr>
        </w:div>
        <w:div w:id="1926917001">
          <w:marLeft w:val="0"/>
          <w:marRight w:val="0"/>
          <w:marTop w:val="0"/>
          <w:marBottom w:val="150"/>
          <w:divBdr>
            <w:top w:val="none" w:sz="0" w:space="0" w:color="auto"/>
            <w:left w:val="none" w:sz="0" w:space="0" w:color="auto"/>
            <w:bottom w:val="none" w:sz="0" w:space="0" w:color="auto"/>
            <w:right w:val="none" w:sz="0" w:space="0" w:color="auto"/>
          </w:divBdr>
        </w:div>
        <w:div w:id="309411508">
          <w:marLeft w:val="0"/>
          <w:marRight w:val="0"/>
          <w:marTop w:val="0"/>
          <w:marBottom w:val="0"/>
          <w:divBdr>
            <w:top w:val="none" w:sz="0" w:space="0" w:color="auto"/>
            <w:left w:val="none" w:sz="0" w:space="0" w:color="auto"/>
            <w:bottom w:val="none" w:sz="0" w:space="0" w:color="auto"/>
            <w:right w:val="none" w:sz="0" w:space="0" w:color="auto"/>
          </w:divBdr>
          <w:divsChild>
            <w:div w:id="493180864">
              <w:marLeft w:val="0"/>
              <w:marRight w:val="0"/>
              <w:marTop w:val="240"/>
              <w:marBottom w:val="0"/>
              <w:divBdr>
                <w:top w:val="dotted" w:sz="6" w:space="6" w:color="DDDDDD"/>
                <w:left w:val="none" w:sz="0" w:space="0" w:color="auto"/>
                <w:bottom w:val="none" w:sz="0" w:space="0" w:color="auto"/>
                <w:right w:val="none" w:sz="0" w:space="0" w:color="auto"/>
              </w:divBdr>
            </w:div>
          </w:divsChild>
        </w:div>
        <w:div w:id="1053388812">
          <w:marLeft w:val="0"/>
          <w:marRight w:val="0"/>
          <w:marTop w:val="150"/>
          <w:marBottom w:val="150"/>
          <w:divBdr>
            <w:top w:val="none" w:sz="0" w:space="0" w:color="auto"/>
            <w:left w:val="none" w:sz="0" w:space="0" w:color="auto"/>
            <w:bottom w:val="none" w:sz="0" w:space="0" w:color="auto"/>
            <w:right w:val="none" w:sz="0" w:space="0" w:color="auto"/>
          </w:divBdr>
          <w:divsChild>
            <w:div w:id="1138063515">
              <w:marLeft w:val="0"/>
              <w:marRight w:val="0"/>
              <w:marTop w:val="0"/>
              <w:marBottom w:val="0"/>
              <w:divBdr>
                <w:top w:val="none" w:sz="0" w:space="0" w:color="auto"/>
                <w:left w:val="none" w:sz="0" w:space="0" w:color="auto"/>
                <w:bottom w:val="none" w:sz="0" w:space="0" w:color="auto"/>
                <w:right w:val="none" w:sz="0" w:space="0" w:color="auto"/>
              </w:divBdr>
            </w:div>
            <w:div w:id="2040742588">
              <w:marLeft w:val="0"/>
              <w:marRight w:val="0"/>
              <w:marTop w:val="0"/>
              <w:marBottom w:val="0"/>
              <w:divBdr>
                <w:top w:val="none" w:sz="0" w:space="0" w:color="auto"/>
                <w:left w:val="none" w:sz="0" w:space="0" w:color="auto"/>
                <w:bottom w:val="none" w:sz="0" w:space="0" w:color="auto"/>
                <w:right w:val="none" w:sz="0" w:space="0" w:color="auto"/>
              </w:divBdr>
            </w:div>
            <w:div w:id="97387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net.gr/online/dnee/epaggelmata-ygeias-iatrika-kentra-oikoi-eugirias/item/113488-draseis-dimosias-ygeias-rithmiseis-gia-tin-enisxisi-tou-esi-prosdiorismos-ypsous-ofeilis-gia-xorigisi-asfalistikis-ikanotitas-apo-ton-eefka" TargetMode="External"/><Relationship Id="rId13" Type="http://schemas.openxmlformats.org/officeDocument/2006/relationships/hyperlink" Target="https://www.oenet.gr/ergasiaka-mob/item/67727-asfalistikes-kai-sintaxiodotikes-rithmiseis-psifiakos-metasximatismos-ethnikou-forea-koinonikis-asfalisis-e-efk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enet.gr/ergasiaka-mob/item/42192-eniaio-systima-koinonikis-asfaleias-metarrithmisi-asfaistikou-sintaksiodotiko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enet.gr/online/oen/item/15534-%CF%80%CF%81%CF%89%CF%84%CE%BF%CE%B2%CE%AC%CE%B8%CE%BC%CE%B9%CE%BF-%CE%B5%CE%B8%CE%BD%CE%B9%CE%BA%CF%8C-%CE%B4%CE%AF%CE%BA%CF%84%CF%85%CE%BF-%CF%85%CE%B3%CE%B5%CE%AF%CE%B1%CF%82-%CF%80-%CE%B5-%CE%B4-%CF%85-,-%CE%B1%CE%BB%CE%BB%CE%B1%CE%B3%CE%AE-%CF%83%CE%BA%CE%BF%CF%80%CE%BF%CF%8D-%CE%B5-%CE%BF-%CF%80-%CF%85-%CF%85-%CE%BA%CE%B1%CE%B9-%CE%BB%CE%BF%CE%B9%CF%80%CE%AD%CF%82-%CE%B4%CE%B9%CE%B1%CF%84%CE%AC%CE%BE%CE%B5%CE%B9%CF%82-%CE%BD-4238-201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oenet.gr/online/dnee/epaggelmata-ygeias-iatrika-kentra-oikoi-eugirias/item/95995-veltiosi-kai-eksigxronismos-tou-ethnikou-sistimatos-ygeias" TargetMode="External"/><Relationship Id="rId4" Type="http://schemas.openxmlformats.org/officeDocument/2006/relationships/numbering" Target="numbering.xml"/><Relationship Id="rId9" Type="http://schemas.openxmlformats.org/officeDocument/2006/relationships/hyperlink" Target="https://www.oenet.gr/online/dnee/epaggelmata-ygeias-iatrika-kentra-oikoi-eugirias/item/116357-oroi-proipotheseis-kai-diadikasia-gia-tin-askisi-idiotikou-ergou-ton-iatron-kai-odontiatron-kladou-esy" TargetMode="External"/><Relationship Id="rId14" Type="http://schemas.openxmlformats.org/officeDocument/2006/relationships/hyperlink" Target="https://www.oenet.gr/ergasiaka-mob/item/83459-e-efka-ekkatharisi-asfalistikon-eisforon-etous-2020-el-epaggelmation-autoapasxoloumenon-agroton-me-parallili-misthoti-erga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A4D905B5D1C84AA908258F897AEDC1" ma:contentTypeVersion="18" ma:contentTypeDescription="Create a new document." ma:contentTypeScope="" ma:versionID="d23dfa5bea30c5f5bb75bc96b0926d64">
  <xsd:schema xmlns:xsd="http://www.w3.org/2001/XMLSchema" xmlns:xs="http://www.w3.org/2001/XMLSchema" xmlns:p="http://schemas.microsoft.com/office/2006/metadata/properties" xmlns:ns3="c4ce0387-c113-482d-92bc-6fc8e0a547cd" xmlns:ns4="c9a047b7-f5ac-40d8-8211-5cb21f10651d" targetNamespace="http://schemas.microsoft.com/office/2006/metadata/properties" ma:root="true" ma:fieldsID="85de87c30f5d7269f40f9ff81a9fb8cb" ns3:_="" ns4:_="">
    <xsd:import namespace="c4ce0387-c113-482d-92bc-6fc8e0a547cd"/>
    <xsd:import namespace="c9a047b7-f5ac-40d8-8211-5cb21f1065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e0387-c113-482d-92bc-6fc8e0a54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a047b7-f5ac-40d8-8211-5cb21f10651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4ce0387-c113-482d-92bc-6fc8e0a547cd" xsi:nil="true"/>
  </documentManagement>
</p:properties>
</file>

<file path=customXml/itemProps1.xml><?xml version="1.0" encoding="utf-8"?>
<ds:datastoreItem xmlns:ds="http://schemas.openxmlformats.org/officeDocument/2006/customXml" ds:itemID="{2ED57FD2-6C0B-4217-BE36-1ADC13435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e0387-c113-482d-92bc-6fc8e0a547cd"/>
    <ds:schemaRef ds:uri="c9a047b7-f5ac-40d8-8211-5cb21f106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6C041-A4E6-4193-847D-42001087CD47}">
  <ds:schemaRefs>
    <ds:schemaRef ds:uri="http://schemas.microsoft.com/sharepoint/v3/contenttype/forms"/>
  </ds:schemaRefs>
</ds:datastoreItem>
</file>

<file path=customXml/itemProps3.xml><?xml version="1.0" encoding="utf-8"?>
<ds:datastoreItem xmlns:ds="http://schemas.openxmlformats.org/officeDocument/2006/customXml" ds:itemID="{7166FB75-D47A-4C74-8447-AEC6B134C777}">
  <ds:schemaRefs>
    <ds:schemaRef ds:uri="http://purl.org/dc/dcmitype/"/>
    <ds:schemaRef ds:uri="http://schemas.microsoft.com/office/2006/metadata/properties"/>
    <ds:schemaRef ds:uri="http://purl.org/dc/elements/1.1/"/>
    <ds:schemaRef ds:uri="c4ce0387-c113-482d-92bc-6fc8e0a547cd"/>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c9a047b7-f5ac-40d8-8211-5cb21f10651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1283</Words>
  <Characters>7317</Characters>
  <Application>Microsoft Office Word</Application>
  <DocSecurity>0</DocSecurity>
  <Lines>60</Lines>
  <Paragraphs>17</Paragraphs>
  <ScaleCrop>false</ScaleCrop>
  <Company>The Ipswich Hospital NHS Trust</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Kirmizis, Dimitrios</dc:creator>
  <cp:keywords/>
  <dc:description/>
  <cp:lastModifiedBy>Kirmizis, Dimitrios</cp:lastModifiedBy>
  <cp:revision>1</cp:revision>
  <dcterms:created xsi:type="dcterms:W3CDTF">2024-11-22T13:36:00Z</dcterms:created>
  <dcterms:modified xsi:type="dcterms:W3CDTF">2024-11-22T13:38:00Z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0x01010061A4D905B5D1C84AA908258F897AEDC1</vt:lpwstr>
  </property>
</Properties>
</file>